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r w:rsidDel="00000000" w:rsidR="00000000" w:rsidRPr="00000000">
        <w:rPr>
          <w:b w:val="1"/>
          <w:color w:val="000000"/>
          <w:sz w:val="36"/>
          <w:szCs w:val="36"/>
          <w:rtl w:val="0"/>
        </w:rPr>
        <w:t xml:space="preserve">Schedule 14 (Business Continuity and Disaster Recovery)</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0"/>
        </w:tabs>
        <w:spacing w:before="120" w:lineRule="auto"/>
        <w:ind w:left="360" w:hanging="360"/>
        <w:jc w:val="left"/>
        <w:rPr/>
      </w:pPr>
      <w:bookmarkStart w:colFirst="0" w:colLast="0" w:name="_heading=h.gjdgxs" w:id="0"/>
      <w:bookmarkEnd w:id="0"/>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Rule="auto"/>
        <w:ind w:left="907" w:hanging="547"/>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"BCDR Plan"</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2.1 of this Schedule;</w:t>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"Business Continuity Plan"</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2.2.2 of this Schedule;</w:t>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Plan"</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2.2.3 of this Schedule;</w:t>
            </w:r>
          </w:p>
        </w:tc>
      </w:tr>
      <w:tr>
        <w:trPr>
          <w:cantSplit w:val="0"/>
          <w:trHeight w:val="56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"Related Supplier"</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who provides Deliverables to the Buyer which are related to the Deliverables from time to time;</w:t>
            </w:r>
          </w:p>
        </w:tc>
      </w:tr>
      <w:tr>
        <w:trPr>
          <w:cantSplit w:val="0"/>
          <w:trHeight w:val="560" w:hRule="atLeast"/>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 Report"</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 and</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Proposals"</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w:t>
            </w:r>
          </w:p>
        </w:tc>
      </w:tr>
    </w:tbl>
    <w:p w:rsidR="00000000" w:rsidDel="00000000" w:rsidP="00000000" w:rsidRDefault="00000000" w:rsidRPr="00000000" w14:paraId="00000010">
      <w:pPr>
        <w:keepNext w:val="1"/>
        <w:numPr>
          <w:ilvl w:val="0"/>
          <w:numId w:val="1"/>
        </w:numPr>
        <w:pBdr>
          <w:top w:space="0" w:sz="0" w:val="nil"/>
          <w:left w:space="0" w:sz="0" w:val="nil"/>
          <w:bottom w:space="0" w:sz="0" w:val="nil"/>
          <w:right w:space="0" w:sz="0" w:val="nil"/>
          <w:between w:space="0" w:sz="0" w:val="nil"/>
        </w:pBdr>
        <w:tabs>
          <w:tab w:val="left" w:leader="none" w:pos="0"/>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11">
      <w:pPr>
        <w:keepNext w:val="1"/>
        <w:numPr>
          <w:ilvl w:val="1"/>
          <w:numId w:val="1"/>
        </w:numPr>
        <w:pBdr>
          <w:top w:space="0" w:sz="0" w:val="nil"/>
          <w:left w:space="0" w:sz="0" w:val="nil"/>
          <w:bottom w:space="0" w:sz="0" w:val="nil"/>
          <w:right w:space="0" w:sz="0" w:val="nil"/>
          <w:between w:space="0" w:sz="0" w:val="nil"/>
        </w:pBdr>
        <w:spacing w:after="120" w:before="120" w:lineRule="auto"/>
        <w:ind w:left="907" w:hanging="547"/>
        <w:jc w:val="left"/>
        <w:rPr>
          <w:color w:val="000000"/>
          <w:sz w:val="24"/>
          <w:szCs w:val="24"/>
        </w:rPr>
      </w:pPr>
      <w:bookmarkStart w:colFirst="0" w:colLast="0" w:name="_heading=h.30j0zll" w:id="1"/>
      <w:bookmarkEnd w:id="1"/>
      <w:r w:rsidDel="00000000" w:rsidR="00000000" w:rsidRPr="00000000">
        <w:rPr>
          <w:color w:val="000000"/>
          <w:sz w:val="24"/>
          <w:szCs w:val="24"/>
          <w:rtl w:val="0"/>
        </w:rPr>
        <w:t xml:space="preserve">Within forty</w:t>
      </w:r>
      <w:r w:rsidDel="00000000" w:rsidR="00000000" w:rsidRPr="00000000">
        <w:rPr>
          <w:rtl w:val="0"/>
        </w:rPr>
        <w:t xml:space="preserve"> </w:t>
      </w:r>
      <w:r w:rsidDel="00000000" w:rsidR="00000000" w:rsidRPr="00000000">
        <w:rPr>
          <w:color w:val="000000"/>
          <w:sz w:val="24"/>
          <w:szCs w:val="24"/>
          <w:rtl w:val="0"/>
        </w:rPr>
        <w:t xml:space="preserve">(40) Working Days after the </w:t>
      </w:r>
      <w:r w:rsidDel="00000000" w:rsidR="00000000" w:rsidRPr="00000000">
        <w:rPr>
          <w:rtl w:val="0"/>
        </w:rPr>
        <w:t xml:space="preserve">Effective</w:t>
      </w:r>
      <w:r w:rsidDel="00000000" w:rsidR="00000000" w:rsidRPr="00000000">
        <w:rPr>
          <w:color w:val="000000"/>
          <w:sz w:val="24"/>
          <w:szCs w:val="24"/>
          <w:rtl w:val="0"/>
        </w:rPr>
        <w:t xml:space="preserve">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recovery of the Deliverables in the event of a Disaster.</w:t>
      </w:r>
    </w:p>
    <w:p w:rsidR="00000000" w:rsidDel="00000000" w:rsidP="00000000" w:rsidRDefault="00000000" w:rsidRPr="00000000" w14:paraId="00000014">
      <w:pPr>
        <w:keepNext w:val="1"/>
        <w:numPr>
          <w:ilvl w:val="1"/>
          <w:numId w:val="1"/>
        </w:numPr>
        <w:pBdr>
          <w:top w:space="0" w:sz="0" w:val="nil"/>
          <w:left w:space="0" w:sz="0" w:val="nil"/>
          <w:bottom w:space="0" w:sz="0" w:val="nil"/>
          <w:right w:space="0" w:sz="0" w:val="nil"/>
          <w:between w:space="0" w:sz="0" w:val="nil"/>
        </w:pBdr>
        <w:spacing w:after="120" w:before="120" w:lineRule="auto"/>
        <w:ind w:left="907" w:hanging="547"/>
        <w:jc w:val="left"/>
        <w:rPr>
          <w:color w:val="000000"/>
          <w:sz w:val="24"/>
          <w:szCs w:val="24"/>
        </w:rPr>
      </w:pPr>
      <w:r w:rsidDel="00000000" w:rsidR="00000000" w:rsidRPr="00000000">
        <w:rPr>
          <w:color w:val="000000"/>
          <w:sz w:val="24"/>
          <w:szCs w:val="24"/>
          <w:rtl w:val="0"/>
        </w:rPr>
        <w:t xml:space="preserve">The BCDR Plan shall be divided into three sections:</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 and</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bookmarkStart w:colFirst="0" w:colLast="0" w:name="_heading=h.tyjcwt" w:id="5"/>
      <w:bookmarkEnd w:id="5"/>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spacing w:after="120" w:before="120" w:lineRule="auto"/>
        <w:ind w:left="907" w:hanging="547"/>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19">
      <w:pPr>
        <w:keepNext w:val="1"/>
        <w:numPr>
          <w:ilvl w:val="0"/>
          <w:numId w:val="1"/>
        </w:numPr>
        <w:pBdr>
          <w:top w:space="0" w:sz="0" w:val="nil"/>
          <w:left w:space="0" w:sz="0" w:val="nil"/>
          <w:bottom w:space="0" w:sz="0" w:val="nil"/>
          <w:right w:space="0" w:sz="0" w:val="nil"/>
          <w:between w:space="0" w:sz="0" w:val="nil"/>
        </w:pBdr>
        <w:tabs>
          <w:tab w:val="left" w:leader="none" w:pos="0"/>
        </w:tabs>
        <w:spacing w:before="120" w:lineRule="auto"/>
        <w:ind w:left="360" w:hanging="360"/>
        <w:jc w:val="left"/>
        <w:rPr>
          <w:rFonts w:ascii="Arial Bold" w:cs="Arial Bold" w:eastAsia="Arial Bold" w:hAnsi="Arial Bold"/>
          <w:b w:val="1"/>
          <w:smallCaps w:val="1"/>
          <w:color w:val="000000"/>
          <w:sz w:val="24"/>
          <w:szCs w:val="24"/>
        </w:rPr>
      </w:pPr>
      <w:bookmarkStart w:colFirst="0" w:colLast="0" w:name="_heading=h.1t3h5sf" w:id="7"/>
      <w:bookmarkEnd w:id="7"/>
      <w:r w:rsidDel="00000000" w:rsidR="00000000" w:rsidRPr="00000000">
        <w:rPr>
          <w:rFonts w:ascii="Arial Bold" w:cs="Arial Bold" w:eastAsia="Arial Bold" w:hAnsi="Arial Bold"/>
          <w:b w:val="1"/>
          <w:color w:val="000000"/>
          <w:sz w:val="24"/>
          <w:szCs w:val="24"/>
          <w:rtl w:val="0"/>
        </w:rPr>
        <w:t xml:space="preserve">General Principles of the BCDR Plan (Section </w:t>
      </w:r>
      <w:r w:rsidDel="00000000" w:rsidR="00000000" w:rsidRPr="00000000">
        <w:rPr>
          <w:rFonts w:ascii="Arial Bold" w:cs="Arial Bold" w:eastAsia="Arial Bold" w:hAnsi="Arial Bold"/>
          <w:color w:val="000000"/>
          <w:sz w:val="24"/>
          <w:szCs w:val="24"/>
          <w:rtl w:val="0"/>
        </w:rPr>
        <w:t xml:space="preserve">1</w:t>
      </w:r>
      <w:r w:rsidDel="00000000" w:rsidR="00000000" w:rsidRPr="00000000">
        <w:rPr>
          <w:rFonts w:ascii="Arial Bold" w:cs="Arial Bold" w:eastAsia="Arial Bold" w:hAnsi="Arial Bold"/>
          <w:b w:val="1"/>
          <w:color w:val="000000"/>
          <w:sz w:val="24"/>
          <w:szCs w:val="24"/>
          <w:rtl w:val="0"/>
        </w:rPr>
        <w:t xml:space="preserve">)</w:t>
      </w:r>
      <w:r w:rsidDel="00000000" w:rsidR="00000000" w:rsidRPr="00000000">
        <w:rPr>
          <w:rtl w:val="0"/>
        </w:rPr>
      </w:r>
    </w:p>
    <w:p w:rsidR="00000000" w:rsidDel="00000000" w:rsidP="00000000" w:rsidRDefault="00000000" w:rsidRPr="00000000" w14:paraId="0000001A">
      <w:pPr>
        <w:keepNext w:val="1"/>
        <w:numPr>
          <w:ilvl w:val="1"/>
          <w:numId w:val="1"/>
        </w:numPr>
        <w:pBdr>
          <w:top w:space="0" w:sz="0" w:val="nil"/>
          <w:left w:space="0" w:sz="0" w:val="nil"/>
          <w:bottom w:space="0" w:sz="0" w:val="nil"/>
          <w:right w:space="0" w:sz="0" w:val="nil"/>
          <w:between w:space="0" w:sz="0" w:val="nil"/>
        </w:pBdr>
        <w:spacing w:after="120" w:before="120" w:lineRule="auto"/>
        <w:ind w:left="907" w:hanging="547"/>
        <w:jc w:val="left"/>
        <w:rPr>
          <w:color w:val="000000"/>
          <w:sz w:val="24"/>
          <w:szCs w:val="24"/>
        </w:rPr>
      </w:pPr>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0">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21">
      <w:pPr>
        <w:numPr>
          <w:ilvl w:val="3"/>
          <w:numId w:val="1"/>
        </w:numPr>
        <w:pBdr>
          <w:top w:space="0" w:sz="0" w:val="nil"/>
          <w:left w:space="0" w:sz="0" w:val="nil"/>
          <w:bottom w:space="0" w:sz="0" w:val="nil"/>
          <w:right w:space="0" w:sz="0" w:val="nil"/>
          <w:between w:space="0" w:sz="0" w:val="nil"/>
        </w:pBdr>
        <w:tabs>
          <w:tab w:val="left" w:leader="none" w:pos="2552"/>
        </w:tabs>
        <w:spacing w:after="120" w:before="120" w:lineRule="auto"/>
        <w:ind w:left="2606" w:hanging="849"/>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22">
      <w:pPr>
        <w:numPr>
          <w:ilvl w:val="3"/>
          <w:numId w:val="1"/>
        </w:numPr>
        <w:pBdr>
          <w:top w:space="0" w:sz="0" w:val="nil"/>
          <w:left w:space="0" w:sz="0" w:val="nil"/>
          <w:bottom w:space="0" w:sz="0" w:val="nil"/>
          <w:right w:space="0" w:sz="0" w:val="nil"/>
          <w:between w:space="0" w:sz="0" w:val="nil"/>
        </w:pBdr>
        <w:spacing w:after="120" w:before="120" w:lineRule="auto"/>
        <w:ind w:left="2606" w:hanging="849"/>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23">
      <w:pPr>
        <w:numPr>
          <w:ilvl w:val="3"/>
          <w:numId w:val="1"/>
        </w:numPr>
        <w:pBdr>
          <w:top w:space="0" w:sz="0" w:val="nil"/>
          <w:left w:space="0" w:sz="0" w:val="nil"/>
          <w:bottom w:space="0" w:sz="0" w:val="nil"/>
          <w:right w:space="0" w:sz="0" w:val="nil"/>
          <w:between w:space="0" w:sz="0" w:val="nil"/>
        </w:pBdr>
        <w:spacing w:after="120" w:before="120" w:lineRule="auto"/>
        <w:ind w:left="2606" w:hanging="849"/>
        <w:jc w:val="left"/>
        <w:rPr>
          <w:color w:val="000000"/>
          <w:sz w:val="24"/>
          <w:szCs w:val="24"/>
        </w:rPr>
      </w:pPr>
      <w:r w:rsidDel="00000000" w:rsidR="00000000" w:rsidRPr="00000000">
        <w:rPr>
          <w:color w:val="000000"/>
          <w:sz w:val="24"/>
          <w:szCs w:val="24"/>
          <w:rtl w:val="0"/>
        </w:rPr>
        <w:t xml:space="preserve">identification of risks arising from an Insolvency Event of the Supplier, any Key Subcontractors and/or Supplier Group member;</w:t>
      </w:r>
    </w:p>
    <w:p w:rsidR="00000000" w:rsidDel="00000000" w:rsidP="00000000" w:rsidRDefault="00000000" w:rsidRPr="00000000" w14:paraId="00000024">
      <w:pPr>
        <w:numPr>
          <w:ilvl w:val="3"/>
          <w:numId w:val="1"/>
        </w:numPr>
        <w:pBdr>
          <w:top w:space="0" w:sz="0" w:val="nil"/>
          <w:left w:space="0" w:sz="0" w:val="nil"/>
          <w:bottom w:space="0" w:sz="0" w:val="nil"/>
          <w:right w:space="0" w:sz="0" w:val="nil"/>
          <w:between w:space="0" w:sz="0" w:val="nil"/>
        </w:pBdr>
        <w:spacing w:after="120" w:before="120" w:lineRule="auto"/>
        <w:ind w:left="2606" w:hanging="849"/>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spacing w:after="120" w:before="120" w:lineRule="auto"/>
        <w:ind w:left="2606" w:hanging="849"/>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 and</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2C">
      <w:pPr>
        <w:keepNext w:val="1"/>
        <w:numPr>
          <w:ilvl w:val="1"/>
          <w:numId w:val="1"/>
        </w:numPr>
        <w:pBdr>
          <w:top w:space="0" w:sz="0" w:val="nil"/>
          <w:left w:space="0" w:sz="0" w:val="nil"/>
          <w:bottom w:space="0" w:sz="0" w:val="nil"/>
          <w:right w:space="0" w:sz="0" w:val="nil"/>
          <w:between w:space="0" w:sz="0" w:val="nil"/>
        </w:pBdr>
        <w:spacing w:after="120" w:before="120" w:lineRule="auto"/>
        <w:ind w:left="907" w:hanging="547"/>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spacing w:after="120" w:before="120" w:lineRule="auto"/>
        <w:ind w:left="907" w:hanging="547"/>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Rule="auto"/>
        <w:ind w:left="907" w:hanging="547"/>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Service Levels, or to any increase in the Charges to the extent that a Disaster occurs as a consequence of any Default by the Supplier of this Contract.</w:t>
      </w:r>
    </w:p>
    <w:p w:rsidR="00000000" w:rsidDel="00000000" w:rsidP="00000000" w:rsidRDefault="00000000" w:rsidRPr="00000000" w14:paraId="00000033">
      <w:pPr>
        <w:keepNext w:val="1"/>
        <w:numPr>
          <w:ilvl w:val="0"/>
          <w:numId w:val="1"/>
        </w:numPr>
        <w:pBdr>
          <w:top w:space="0" w:sz="0" w:val="nil"/>
          <w:left w:space="0" w:sz="0" w:val="nil"/>
          <w:bottom w:space="0" w:sz="0" w:val="nil"/>
          <w:right w:space="0" w:sz="0" w:val="nil"/>
          <w:between w:space="0" w:sz="0" w:val="nil"/>
        </w:pBdr>
        <w:tabs>
          <w:tab w:val="left" w:leader="none" w:pos="0"/>
        </w:tabs>
        <w:spacing w:before="120" w:lineRule="auto"/>
        <w:ind w:left="360" w:hanging="360"/>
        <w:jc w:val="left"/>
        <w:rPr>
          <w:rFonts w:ascii="Arial Bold" w:cs="Arial Bold" w:eastAsia="Arial Bold" w:hAnsi="Arial Bold"/>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34">
      <w:pPr>
        <w:keepNext w:val="1"/>
        <w:numPr>
          <w:ilvl w:val="1"/>
          <w:numId w:val="1"/>
        </w:numPr>
        <w:pBdr>
          <w:top w:space="0" w:sz="0" w:val="nil"/>
          <w:left w:space="0" w:sz="0" w:val="nil"/>
          <w:bottom w:space="0" w:sz="0" w:val="nil"/>
          <w:right w:space="0" w:sz="0" w:val="nil"/>
          <w:between w:space="0" w:sz="0" w:val="nil"/>
        </w:pBdr>
        <w:spacing w:after="120" w:before="120" w:lineRule="auto"/>
        <w:ind w:left="907" w:hanging="547"/>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37">
      <w:pPr>
        <w:keepNext w:val="1"/>
        <w:numPr>
          <w:ilvl w:val="1"/>
          <w:numId w:val="1"/>
        </w:numPr>
        <w:pBdr>
          <w:top w:space="0" w:sz="0" w:val="nil"/>
          <w:left w:space="0" w:sz="0" w:val="nil"/>
          <w:bottom w:space="0" w:sz="0" w:val="nil"/>
          <w:right w:space="0" w:sz="0" w:val="nil"/>
          <w:between w:space="0" w:sz="0" w:val="nil"/>
        </w:pBdr>
        <w:spacing w:after="120" w:before="120" w:lineRule="auto"/>
        <w:ind w:left="907" w:hanging="547"/>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bookmarkStart w:colFirst="0" w:colLast="0" w:name="_heading=h.2s8eyo1" w:id="9"/>
      <w:bookmarkEnd w:id="9"/>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specify any applicable Service Levels with respect to the provision of the Business Continuity Services and details of any agreed relaxation to the Service Levels in respect of the provision of other Deliverables during any period of invocation of the Business Continuity Plan; and</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3C">
      <w:pPr>
        <w:keepNext w:val="1"/>
        <w:numPr>
          <w:ilvl w:val="0"/>
          <w:numId w:val="1"/>
        </w:numPr>
        <w:pBdr>
          <w:top w:space="0" w:sz="0" w:val="nil"/>
          <w:left w:space="0" w:sz="0" w:val="nil"/>
          <w:bottom w:space="0" w:sz="0" w:val="nil"/>
          <w:right w:space="0" w:sz="0" w:val="nil"/>
          <w:between w:space="0" w:sz="0" w:val="nil"/>
        </w:pBdr>
        <w:tabs>
          <w:tab w:val="left" w:leader="none" w:pos="0"/>
        </w:tabs>
        <w:spacing w:before="120" w:lineRule="auto"/>
        <w:ind w:left="360" w:hanging="360"/>
        <w:jc w:val="left"/>
        <w:rPr>
          <w:rFonts w:ascii="Arial Bold" w:cs="Arial Bold" w:eastAsia="Arial Bold" w:hAnsi="Arial Bold"/>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Disaster Recovery (Section </w:t>
      </w:r>
      <w:r w:rsidDel="00000000" w:rsidR="00000000" w:rsidRPr="00000000">
        <w:rPr>
          <w:rFonts w:ascii="Arial Bold" w:cs="Arial Bold" w:eastAsia="Arial Bold" w:hAnsi="Arial Bold"/>
          <w:color w:val="000000"/>
          <w:sz w:val="24"/>
          <w:szCs w:val="24"/>
          <w:rtl w:val="0"/>
        </w:rPr>
        <w:t xml:space="preserve">3</w:t>
      </w:r>
      <w:r w:rsidDel="00000000" w:rsidR="00000000" w:rsidRPr="00000000">
        <w:rPr>
          <w:rFonts w:ascii="Arial Bold" w:cs="Arial Bold" w:eastAsia="Arial Bold" w:hAnsi="Arial Bold"/>
          <w:b w:val="1"/>
          <w:color w:val="000000"/>
          <w:sz w:val="24"/>
          <w:szCs w:val="24"/>
          <w:rtl w:val="0"/>
        </w:rPr>
        <w:t xml:space="preserve">)</w:t>
      </w:r>
      <w:r w:rsidDel="00000000" w:rsidR="00000000" w:rsidRPr="00000000">
        <w:rPr>
          <w:rtl w:val="0"/>
        </w:rPr>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spacing w:after="120" w:before="120" w:lineRule="auto"/>
        <w:ind w:left="907" w:hanging="547"/>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The Disaster Recovery Plan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3E">
      <w:pPr>
        <w:keepNext w:val="1"/>
        <w:numPr>
          <w:ilvl w:val="1"/>
          <w:numId w:val="1"/>
        </w:numPr>
        <w:pBdr>
          <w:top w:space="0" w:sz="0" w:val="nil"/>
          <w:left w:space="0" w:sz="0" w:val="nil"/>
          <w:bottom w:space="0" w:sz="0" w:val="nil"/>
          <w:right w:space="0" w:sz="0" w:val="nil"/>
          <w:between w:space="0" w:sz="0" w:val="nil"/>
        </w:pBdr>
        <w:spacing w:after="120" w:before="120" w:lineRule="auto"/>
        <w:ind w:left="907" w:hanging="547"/>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BCDR Plan testing;</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post implementation review process;</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any applicable Service Levels with respect to the provision of the disaster recovery services and details of any agreed relaxation to the Service Levels in respect of the provision of other Deliverables during any period of invocation of the Disaster Recovery Plan;</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4C">
      <w:pPr>
        <w:keepNext w:val="1"/>
        <w:numPr>
          <w:ilvl w:val="0"/>
          <w:numId w:val="1"/>
        </w:numPr>
        <w:pBdr>
          <w:top w:space="0" w:sz="0" w:val="nil"/>
          <w:left w:space="0" w:sz="0" w:val="nil"/>
          <w:bottom w:space="0" w:sz="0" w:val="nil"/>
          <w:right w:space="0" w:sz="0" w:val="nil"/>
          <w:between w:space="0" w:sz="0" w:val="nil"/>
        </w:pBdr>
        <w:tabs>
          <w:tab w:val="left" w:leader="none" w:pos="0"/>
        </w:tabs>
        <w:spacing w:before="120" w:lineRule="auto"/>
        <w:ind w:left="360" w:hanging="360"/>
        <w:jc w:val="left"/>
        <w:rPr>
          <w:rFonts w:ascii="Arial Bold" w:cs="Arial Bold" w:eastAsia="Arial Bold" w:hAnsi="Arial Bold"/>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4D">
      <w:pPr>
        <w:keepNext w:val="1"/>
        <w:numPr>
          <w:ilvl w:val="1"/>
          <w:numId w:val="1"/>
        </w:numPr>
        <w:pBdr>
          <w:top w:space="0" w:sz="0" w:val="nil"/>
          <w:left w:space="0" w:sz="0" w:val="nil"/>
          <w:bottom w:space="0" w:sz="0" w:val="nil"/>
          <w:right w:space="0" w:sz="0" w:val="nil"/>
          <w:between w:space="0" w:sz="0" w:val="nil"/>
        </w:pBdr>
        <w:spacing w:after="120" w:before="120" w:lineRule="auto"/>
        <w:ind w:left="907" w:hanging="547"/>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bookmarkStart w:colFirst="0" w:colLast="0" w:name="_heading=h.lnxbz9" w:id="13"/>
      <w:bookmarkEnd w:id="13"/>
      <w:r w:rsidDel="00000000" w:rsidR="00000000" w:rsidRPr="00000000">
        <w:rPr>
          <w:color w:val="000000"/>
          <w:sz w:val="24"/>
          <w:szCs w:val="24"/>
          <w:rtl w:val="0"/>
        </w:rPr>
        <w:t xml:space="preserve">within three (3) calendar Months of the BCDR Plan (or any part) having been invoked pursuant to Paragraph 7; and</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Approval.</w:t>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after="120" w:before="120" w:lineRule="auto"/>
        <w:ind w:left="907" w:hanging="547"/>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120" w:lineRule="auto"/>
        <w:ind w:left="907" w:hanging="547"/>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120" w:lineRule="auto"/>
        <w:ind w:left="907" w:hanging="547"/>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spacing w:after="120" w:before="120" w:lineRule="auto"/>
        <w:ind w:left="907" w:hanging="547"/>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55">
      <w:pPr>
        <w:keepNext w:val="1"/>
        <w:numPr>
          <w:ilvl w:val="0"/>
          <w:numId w:val="1"/>
        </w:numPr>
        <w:pBdr>
          <w:top w:space="0" w:sz="0" w:val="nil"/>
          <w:left w:space="0" w:sz="0" w:val="nil"/>
          <w:bottom w:space="0" w:sz="0" w:val="nil"/>
          <w:right w:space="0" w:sz="0" w:val="nil"/>
          <w:between w:space="0" w:sz="0" w:val="nil"/>
        </w:pBdr>
        <w:tabs>
          <w:tab w:val="left" w:leader="none" w:pos="0"/>
        </w:tabs>
        <w:spacing w:before="120" w:lineRule="auto"/>
        <w:ind w:left="360" w:hanging="360"/>
        <w:jc w:val="left"/>
        <w:rPr/>
      </w:pPr>
      <w:bookmarkStart w:colFirst="0" w:colLast="0" w:name="_heading=h.z337ya" w:id="18"/>
      <w:bookmarkEnd w:id="18"/>
      <w:r w:rsidDel="00000000" w:rsidR="00000000" w:rsidRPr="00000000">
        <w:rPr>
          <w:rFonts w:ascii="Arial Bold" w:cs="Arial Bold" w:eastAsia="Arial Bold" w:hAnsi="Arial Bold"/>
          <w:b w:val="1"/>
          <w:color w:val="000000"/>
          <w:sz w:val="24"/>
          <w:szCs w:val="24"/>
          <w:rtl w:val="0"/>
        </w:rPr>
        <w:t xml:space="preserve">Testing the BCDR Plan</w:t>
      </w:r>
      <w:r w:rsidDel="00000000" w:rsidR="00000000" w:rsidRPr="00000000">
        <w:rPr>
          <w:rtl w:val="0"/>
        </w:rPr>
      </w:r>
    </w:p>
    <w:p w:rsidR="00000000" w:rsidDel="00000000" w:rsidP="00000000" w:rsidRDefault="00000000" w:rsidRPr="00000000" w14:paraId="00000056">
      <w:pPr>
        <w:keepNext w:val="1"/>
        <w:numPr>
          <w:ilvl w:val="1"/>
          <w:numId w:val="1"/>
        </w:numPr>
        <w:pBdr>
          <w:top w:space="0" w:sz="0" w:val="nil"/>
          <w:left w:space="0" w:sz="0" w:val="nil"/>
          <w:bottom w:space="0" w:sz="0" w:val="nil"/>
          <w:right w:space="0" w:sz="0" w:val="nil"/>
          <w:between w:space="0" w:sz="0" w:val="nil"/>
        </w:pBdr>
        <w:spacing w:after="120" w:before="120" w:lineRule="auto"/>
        <w:ind w:left="907" w:hanging="547"/>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spacing w:after="120" w:before="120" w:lineRule="auto"/>
        <w:ind w:left="907" w:hanging="547"/>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spacing w:after="120" w:before="120" w:lineRule="auto"/>
        <w:ind w:left="907" w:hanging="547"/>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spacing w:after="120" w:before="120" w:lineRule="auto"/>
        <w:ind w:left="907" w:hanging="547"/>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5D">
      <w:pPr>
        <w:keepNext w:val="1"/>
        <w:numPr>
          <w:ilvl w:val="1"/>
          <w:numId w:val="1"/>
        </w:numPr>
        <w:pBdr>
          <w:top w:space="0" w:sz="0" w:val="nil"/>
          <w:left w:space="0" w:sz="0" w:val="nil"/>
          <w:bottom w:space="0" w:sz="0" w:val="nil"/>
          <w:right w:space="0" w:sz="0" w:val="nil"/>
          <w:between w:space="0" w:sz="0" w:val="nil"/>
        </w:pBdr>
        <w:spacing w:after="120" w:before="120" w:lineRule="auto"/>
        <w:ind w:left="907" w:hanging="547"/>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57" w:hanging="85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spacing w:after="120" w:before="120" w:lineRule="auto"/>
        <w:ind w:left="907" w:hanging="547"/>
        <w:jc w:val="left"/>
        <w:rPr>
          <w:color w:val="000000"/>
          <w:sz w:val="24"/>
          <w:szCs w:val="24"/>
        </w:rPr>
      </w:pPr>
      <w:bookmarkStart w:colFirst="0" w:colLast="0" w:name="_heading=h.4i7ojhp" w:id="21"/>
      <w:bookmarkEnd w:id="21"/>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62">
      <w:pPr>
        <w:keepNext w:val="1"/>
        <w:numPr>
          <w:ilvl w:val="0"/>
          <w:numId w:val="1"/>
        </w:numPr>
        <w:pBdr>
          <w:top w:space="0" w:sz="0" w:val="nil"/>
          <w:left w:space="0" w:sz="0" w:val="nil"/>
          <w:bottom w:space="0" w:sz="0" w:val="nil"/>
          <w:right w:space="0" w:sz="0" w:val="nil"/>
          <w:between w:space="0" w:sz="0" w:val="nil"/>
        </w:pBdr>
        <w:tabs>
          <w:tab w:val="left" w:leader="none" w:pos="0"/>
        </w:tabs>
        <w:spacing w:before="120" w:lineRule="auto"/>
        <w:ind w:left="360" w:hanging="360"/>
        <w:jc w:val="left"/>
        <w:rPr/>
      </w:pPr>
      <w:bookmarkStart w:colFirst="0" w:colLast="0" w:name="_heading=h.2xcytpi" w:id="22"/>
      <w:bookmarkEnd w:id="22"/>
      <w:r w:rsidDel="00000000" w:rsidR="00000000" w:rsidRPr="00000000">
        <w:rPr>
          <w:rFonts w:ascii="Arial Bold" w:cs="Arial Bold" w:eastAsia="Arial Bold" w:hAnsi="Arial Bold"/>
          <w:b w:val="1"/>
          <w:color w:val="000000"/>
          <w:sz w:val="24"/>
          <w:szCs w:val="24"/>
          <w:rtl w:val="0"/>
        </w:rPr>
        <w:t xml:space="preserve">Invoking the BCDR Plan</w:t>
      </w:r>
      <w:r w:rsidDel="00000000" w:rsidR="00000000" w:rsidRPr="00000000">
        <w:rPr>
          <w:rtl w:val="0"/>
        </w:rPr>
      </w:r>
    </w:p>
    <w:p w:rsidR="00000000" w:rsidDel="00000000" w:rsidP="00000000" w:rsidRDefault="00000000" w:rsidRPr="00000000" w14:paraId="00000063">
      <w:pPr>
        <w:ind w:left="360" w:firstLine="0"/>
        <w:jc w:val="left"/>
        <w:rPr>
          <w:sz w:val="24"/>
          <w:szCs w:val="24"/>
        </w:rPr>
      </w:pPr>
      <w:r w:rsidDel="00000000" w:rsidR="00000000" w:rsidRPr="00000000">
        <w:rPr>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64">
      <w:pPr>
        <w:keepNext w:val="1"/>
        <w:numPr>
          <w:ilvl w:val="0"/>
          <w:numId w:val="1"/>
        </w:numPr>
        <w:pBdr>
          <w:top w:space="0" w:sz="0" w:val="nil"/>
          <w:left w:space="0" w:sz="0" w:val="nil"/>
          <w:bottom w:space="0" w:sz="0" w:val="nil"/>
          <w:right w:space="0" w:sz="0" w:val="nil"/>
          <w:between w:space="0" w:sz="0" w:val="nil"/>
        </w:pBdr>
        <w:tabs>
          <w:tab w:val="left" w:leader="none" w:pos="0"/>
        </w:tabs>
        <w:spacing w:before="120" w:lineRule="auto"/>
        <w:ind w:left="360" w:hanging="360"/>
        <w:jc w:val="left"/>
        <w:rPr>
          <w:rFonts w:ascii="Arial Bold" w:cs="Arial Bold" w:eastAsia="Arial Bold" w:hAnsi="Arial Bold"/>
          <w:color w:val="000000"/>
          <w:sz w:val="24"/>
          <w:szCs w:val="24"/>
        </w:rPr>
      </w:pPr>
      <w:r w:rsidDel="00000000" w:rsidR="00000000" w:rsidRPr="00000000">
        <w:rPr>
          <w:rFonts w:ascii="Arial Bold" w:cs="Arial Bold" w:eastAsia="Arial Bold" w:hAnsi="Arial Bold"/>
          <w:b w:val="1"/>
          <w:color w:val="000000"/>
          <w:sz w:val="24"/>
          <w:szCs w:val="24"/>
          <w:rtl w:val="0"/>
        </w:rPr>
        <w:t xml:space="preserve">Circumstances beyond your control</w:t>
      </w:r>
      <w:r w:rsidDel="00000000" w:rsidR="00000000" w:rsidRPr="00000000">
        <w:rPr>
          <w:rtl w:val="0"/>
        </w:rPr>
      </w:r>
    </w:p>
    <w:p w:rsidR="00000000" w:rsidDel="00000000" w:rsidP="00000000" w:rsidRDefault="00000000" w:rsidRPr="00000000" w14:paraId="00000065">
      <w:pPr>
        <w:ind w:left="360" w:firstLine="0"/>
        <w:jc w:val="left"/>
        <w:rPr>
          <w:color w:val="000000"/>
          <w:sz w:val="24"/>
          <w:szCs w:val="24"/>
        </w:rPr>
      </w:pPr>
      <w:r w:rsidDel="00000000" w:rsidR="00000000" w:rsidRPr="00000000">
        <w:rPr>
          <w:sz w:val="24"/>
          <w:szCs w:val="24"/>
          <w:rtl w:val="0"/>
        </w:rPr>
        <w:t xml:space="preserve">The</w:t>
      </w:r>
      <w:r w:rsidDel="00000000" w:rsidR="00000000" w:rsidRPr="00000000">
        <w:rPr>
          <w:color w:val="000000"/>
          <w:sz w:val="24"/>
          <w:szCs w:val="24"/>
          <w:rtl w:val="0"/>
        </w:rPr>
        <w:t xml:space="preserve"> Supplier shall not be entitled to relief under Clause 24 (Circumstances beyond your control) if it would not have been impacted by the Force Majeure Event had it not failed to comply with its obligations under this Schedule.</w:t>
      </w:r>
    </w:p>
    <w:p w:rsidR="00000000" w:rsidDel="00000000" w:rsidP="00000000" w:rsidRDefault="00000000" w:rsidRPr="00000000" w14:paraId="00000066">
      <w:pPr>
        <w:ind w:left="0" w:firstLine="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Model Version: v2.9</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70">
    <w:pPr>
      <w:tabs>
        <w:tab w:val="center" w:leader="none" w:pos="4513"/>
        <w:tab w:val="right" w:leader="none" w:pos="9026"/>
      </w:tabs>
      <w:spacing w:after="0" w:lineRule="auto"/>
      <w:ind w:left="0" w:firstLine="0"/>
      <w:rPr>
        <w:color w:val="bfbfbf"/>
        <w:sz w:val="20"/>
        <w:szCs w:val="20"/>
      </w:rPr>
    </w:pPr>
    <w:r w:rsidDel="00000000" w:rsidR="00000000" w:rsidRPr="00000000">
      <w:rPr>
        <w:color w:val="bfbfbf"/>
        <w:sz w:val="20"/>
        <w:szCs w:val="20"/>
        <w:rtl w:val="0"/>
      </w:rPr>
      <w:t xml:space="preserve">v.1.2</w:t>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jc w:val="left"/>
      <w:rPr>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7">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Schedule 14 (Business Continuity and Disaster Recovery), Crown Copyright 2023, [Subject to Contract]</w:t>
    </w:r>
  </w:p>
  <w:p w:rsidR="00000000" w:rsidDel="00000000" w:rsidP="00000000" w:rsidRDefault="00000000" w:rsidRPr="00000000" w14:paraId="00000068">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i w:val="0"/>
        <w:smallCaps w:val="0"/>
        <w:strike w:val="0"/>
        <w:color w:val="000000"/>
        <w:u w:val="none"/>
        <w:vertAlign w:val="baseline"/>
      </w:rPr>
    </w:lvl>
    <w:lvl w:ilvl="2">
      <w:start w:val="1"/>
      <w:numFmt w:val="decimal"/>
      <w:lvlText w:val="%1.%2.%3"/>
      <w:lvlJc w:val="left"/>
      <w:pPr>
        <w:ind w:left="1757" w:hanging="850.0000000000001"/>
      </w:pPr>
      <w:rPr>
        <w:i w:val="0"/>
        <w:smallCaps w:val="0"/>
        <w:strike w:val="0"/>
        <w:color w:val="000000"/>
        <w:u w:val="none"/>
        <w:vertAlign w:val="baseline"/>
      </w:rPr>
    </w:lvl>
    <w:lvl w:ilvl="3">
      <w:start w:val="1"/>
      <w:numFmt w:val="lowerLetter"/>
      <w:lvlText w:val="(%4)"/>
      <w:lvlJc w:val="left"/>
      <w:pPr>
        <w:ind w:left="2606" w:hanging="848"/>
      </w:pPr>
      <w:rPr>
        <w:rFonts w:ascii="Arial" w:cs="Arial" w:eastAsia="Arial" w:hAnsi="Arial"/>
        <w:i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CE67F4"/>
    <w:pPr>
      <w:keepNext w:val="1"/>
      <w:numPr>
        <w:numId w:val="2"/>
      </w:numPr>
      <w:tabs>
        <w:tab w:val="left" w:pos="0"/>
      </w:tabs>
      <w:overflowPunct w:val="1"/>
      <w:autoSpaceDE w:val="1"/>
      <w:autoSpaceDN w:val="1"/>
      <w:spacing w:before="120"/>
      <w:jc w:val="left"/>
      <w:textAlignment w:val="auto"/>
      <w:outlineLvl w:val="1"/>
    </w:pPr>
    <w:rPr>
      <w:rFonts w:ascii="Arial Bold" w:eastAsia="STZhongsong" w:hAnsi="Arial Bold"/>
      <w:b w:val="1"/>
      <w:sz w:val="24"/>
      <w:lang w:eastAsia="zh-CN"/>
    </w:rPr>
  </w:style>
  <w:style w:type="paragraph" w:styleId="GPSL2numberedclause" w:customStyle="1">
    <w:name w:val="GPS L2 numbered clause"/>
    <w:basedOn w:val="Normal"/>
    <w:link w:val="GPSL2numberedclauseChar1"/>
    <w:qFormat w:val="1"/>
    <w:rsid w:val="00164310"/>
    <w:pPr>
      <w:numPr>
        <w:ilvl w:val="1"/>
        <w:numId w:val="2"/>
      </w:numPr>
      <w:overflowPunct w:val="1"/>
      <w:autoSpaceDE w:val="1"/>
      <w:autoSpaceDN w:val="1"/>
      <w:spacing w:after="120" w:before="120"/>
      <w:jc w:val="left"/>
      <w:textAlignment w:val="auto"/>
    </w:pPr>
    <w:rPr>
      <w:sz w:val="24"/>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CE67F4"/>
    <w:pPr>
      <w:numPr>
        <w:ilvl w:val="3"/>
      </w:numPr>
      <w:tabs>
        <w:tab w:val="clear" w:pos="1985"/>
        <w:tab w:val="clear" w:pos="2127"/>
      </w:tabs>
    </w:pPr>
    <w:rPr>
      <w:szCs w:val="20"/>
    </w:rPr>
  </w:style>
  <w:style w:type="character" w:styleId="GPSL2numberedclauseChar1" w:customStyle="1">
    <w:name w:val="GPS L2 numbered clause Char1"/>
    <w:link w:val="GPSL2numberedclause"/>
    <w:rsid w:val="00164310"/>
    <w:rPr>
      <w:rFonts w:eastAsia="Times New Roman"/>
      <w:sz w:val="24"/>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sid w:val="00CE67F4"/>
    <w:rPr>
      <w:rFonts w:eastAsia="Times New Roman"/>
      <w:sz w:val="24"/>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6numbered" w:customStyle="1">
    <w:name w:val="GPS L6 numbered"/>
    <w:basedOn w:val="GPSL5numberedclause"/>
    <w:qFormat w:val="1"/>
    <w:pPr>
      <w:numPr>
        <w:ilvl w:val="5"/>
      </w:numPr>
      <w:tabs>
        <w:tab w:val="num" w:pos="360"/>
        <w:tab w:val="num" w:pos="360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tabs>
        <w:tab w:val="left" w:pos="-9"/>
        <w:tab w:val="num" w:pos="720"/>
      </w:tabs>
      <w:spacing w:after="120"/>
      <w:ind w:left="720" w:hanging="720"/>
    </w:pPr>
  </w:style>
  <w:style w:type="paragraph" w:styleId="GPSDefinitionL2" w:customStyle="1">
    <w:name w:val="GPS Definition L2"/>
    <w:basedOn w:val="GPsDefinition"/>
    <w:qFormat w:val="1"/>
    <w:pPr>
      <w:numPr>
        <w:ilvl w:val="1"/>
      </w:numPr>
      <w:tabs>
        <w:tab w:val="clear" w:pos="-9"/>
        <w:tab w:val="left" w:pos="144"/>
        <w:tab w:val="num" w:pos="720"/>
      </w:tabs>
      <w:ind w:left="720" w:hanging="545"/>
    </w:pPr>
  </w:style>
  <w:style w:type="paragraph" w:styleId="GPSDefinitionL3" w:customStyle="1">
    <w:name w:val="GPS Definition L3"/>
    <w:basedOn w:val="GPSDefinitionL2"/>
    <w:qFormat w:val="1"/>
    <w:pPr>
      <w:numPr>
        <w:ilvl w:val="2"/>
      </w:numPr>
      <w:tabs>
        <w:tab w:val="num" w:pos="720"/>
      </w:tabs>
      <w:ind w:left="720" w:hanging="545"/>
    </w:pPr>
  </w:style>
  <w:style w:type="paragraph" w:styleId="GPSDefinitionL4" w:customStyle="1">
    <w:name w:val="GPS Definition L4"/>
    <w:basedOn w:val="GPSDefinitionL3"/>
    <w:qFormat w:val="1"/>
    <w:pPr>
      <w:numPr>
        <w:ilvl w:val="3"/>
      </w:numPr>
      <w:tabs>
        <w:tab w:val="num" w:pos="720"/>
      </w:tabs>
      <w:ind w:left="720" w:hanging="545"/>
    </w:pPr>
  </w:style>
  <w:style w:type="paragraph" w:styleId="GPSL1SCHEDULEHeading" w:customStyle="1">
    <w:name w:val="GPS L1 SCHEDULE Heading"/>
    <w:basedOn w:val="GPSL1CLAUSEHEADING"/>
    <w:link w:val="GPSL1SCHEDULEHeadingChar"/>
    <w:qFormat w:val="1"/>
    <w:pPr>
      <w:numPr>
        <w:numId w:val="1"/>
      </w:num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l4KDVn45f5z0ZOLKdWTApXSXO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4AGpJCjVzdWdnZXN0SWRJbXBvcnQ2MmQ0NzY4ZS1kMmM1LTQ3YjAtYTRiYy02MzA4N2QyYjQ2OThfMRIQUGhpbGxpcCBOeWFrdWR5YXIhMU5aVEVWUXpLYjVfN3VRUlM2b1AtU0JSdlU0V2tJT0N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2023-11-24T11:34:00Z</dcterms:created>
  <dc:creator>Harry Jackson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4477dcbb-e9e8-44d6-8c46-49e282799ab0</vt:lpwstr>
  </property>
</Properties>
</file>